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990"/>
      </w:tblGrid>
      <w:tr w:rsidR="00EA7899" w:rsidRPr="00C5345F" w:rsidTr="00D645D1">
        <w:trPr>
          <w:trHeight w:hRule="exact" w:val="1928"/>
        </w:trPr>
        <w:tc>
          <w:tcPr>
            <w:tcW w:w="4536" w:type="dxa"/>
          </w:tcPr>
          <w:p w:rsidR="00EA7899" w:rsidRDefault="00EA7899" w:rsidP="0043054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9B4A7" wp14:editId="76D4464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-1054203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899" w:rsidRDefault="00F25EFE" w:rsidP="00EA7899">
                                  <w:r>
                                    <w:fldChar w:fldCharType="begin"/>
                                  </w:r>
                                  <w:r>
                                    <w:instrText xml:space="preserve"> DATE \@ "dd MMMM yyyy" </w:instrText>
                                  </w:r>
                                  <w:r>
                                    <w:fldChar w:fldCharType="separate"/>
                                  </w:r>
                                  <w:r w:rsidR="00FE06CC">
                                    <w:rPr>
                                      <w:noProof/>
                                    </w:rPr>
                                    <w:t>23 January 2020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F25EFE" w:rsidRDefault="00F25EFE" w:rsidP="00EA7899"/>
                                <w:p w:rsidR="00EA7899" w:rsidRPr="00015760" w:rsidRDefault="00EA7899" w:rsidP="00EA7899">
                                  <w:pPr>
                                    <w:rPr>
                                      <w:b/>
                                    </w:rPr>
                                  </w:pPr>
                                  <w:r w:rsidRPr="00015760">
                                    <w:rPr>
                                      <w:b/>
                                    </w:rPr>
                                    <w:t>Private and 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1pt;margin-top:-8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2gnX++AAAAALAQAADwAAAAAAAAAAAAAAAABpBAAAZHJzL2Rvd25yZXYueG1sUEsFBgAAAAAEAAQA&#10;8wAAAHYFAAAAAA==&#10;" filled="f" stroked="f">
                      <v:textbox style="mso-fit-shape-to-text:t">
                        <w:txbxContent>
                          <w:p w:rsidR="00EA7899" w:rsidRDefault="00F25EFE" w:rsidP="00EA7899">
                            <w:r>
                              <w:fldChar w:fldCharType="begin"/>
                            </w:r>
                            <w:r>
                              <w:instrText xml:space="preserve"> DATE \@ "dd MMMM yyyy" </w:instrText>
                            </w:r>
                            <w:r>
                              <w:fldChar w:fldCharType="separate"/>
                            </w:r>
                            <w:r w:rsidR="00FE06CC">
                              <w:rPr>
                                <w:noProof/>
                              </w:rPr>
                              <w:t>23 January 2020</w:t>
                            </w:r>
                            <w:r>
                              <w:fldChar w:fldCharType="end"/>
                            </w:r>
                          </w:p>
                          <w:p w:rsidR="00F25EFE" w:rsidRDefault="00F25EFE" w:rsidP="00EA7899"/>
                          <w:p w:rsidR="00EA7899" w:rsidRPr="00015760" w:rsidRDefault="00EA7899" w:rsidP="00EA7899">
                            <w:pPr>
                              <w:rPr>
                                <w:b/>
                              </w:rPr>
                            </w:pPr>
                            <w:r w:rsidRPr="00015760">
                              <w:rPr>
                                <w:b/>
                              </w:rPr>
                              <w:t>Private and 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7899" w:rsidRDefault="00EA7899" w:rsidP="00430541"/>
          <w:p w:rsidR="00EA7899" w:rsidRDefault="00EA7899" w:rsidP="00430541"/>
          <w:p w:rsidR="00EA7899" w:rsidRDefault="00EA7899" w:rsidP="00430541"/>
          <w:p w:rsidR="00EA7899" w:rsidRDefault="00EA7899" w:rsidP="00430541"/>
        </w:tc>
        <w:tc>
          <w:tcPr>
            <w:tcW w:w="340" w:type="dxa"/>
          </w:tcPr>
          <w:p w:rsidR="00EA7899" w:rsidRDefault="00EA7899" w:rsidP="00430541"/>
        </w:tc>
        <w:tc>
          <w:tcPr>
            <w:tcW w:w="4990" w:type="dxa"/>
          </w:tcPr>
          <w:p w:rsidR="00EA7899" w:rsidRPr="006925D8" w:rsidRDefault="00F25EFE" w:rsidP="004305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Pharmacy Department</w:t>
            </w:r>
          </w:p>
          <w:p w:rsidR="00EA7899" w:rsidRDefault="00F25EFE" w:rsidP="004305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Farnham Road Hospital</w:t>
            </w:r>
          </w:p>
          <w:p w:rsidR="00F25EFE" w:rsidRDefault="00F25EFE" w:rsidP="004305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Guildford</w:t>
            </w:r>
          </w:p>
          <w:p w:rsidR="00F25EFE" w:rsidRPr="00857254" w:rsidRDefault="00F25EFE" w:rsidP="004305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GU2 7LX</w:t>
            </w:r>
          </w:p>
          <w:p w:rsidR="00EA7899" w:rsidRDefault="00EA7899" w:rsidP="004305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T: </w:t>
            </w:r>
            <w:r w:rsidR="00F25EFE">
              <w:rPr>
                <w:rFonts w:ascii="Arial" w:hAnsi="Arial" w:cs="Arial"/>
                <w:bCs/>
                <w:sz w:val="20"/>
                <w:szCs w:val="20"/>
              </w:rPr>
              <w:t>01483 443717</w:t>
            </w:r>
          </w:p>
          <w:p w:rsidR="00EA7899" w:rsidRDefault="00EA7899" w:rsidP="004305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57254">
              <w:rPr>
                <w:rFonts w:ascii="Arial" w:hAnsi="Arial" w:cs="Arial"/>
                <w:bCs/>
                <w:sz w:val="20"/>
                <w:szCs w:val="20"/>
              </w:rPr>
              <w:t xml:space="preserve">E: </w:t>
            </w:r>
            <w:hyperlink r:id="rId8" w:history="1">
              <w:r w:rsidR="00D645D1" w:rsidRPr="00D645D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alison.marshall</w:t>
              </w:r>
              <w:r w:rsidR="00D645D1" w:rsidRPr="0063143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@sabp.nhs.uk</w:t>
              </w:r>
            </w:hyperlink>
          </w:p>
          <w:p w:rsidR="00EA7899" w:rsidRPr="00857254" w:rsidRDefault="00D645D1" w:rsidP="004305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pharmacy@sabp.nhs.uk</w:t>
            </w:r>
          </w:p>
          <w:p w:rsidR="00EA7899" w:rsidRPr="00C5345F" w:rsidRDefault="00EA7899" w:rsidP="004305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B23DD" w:rsidRDefault="002B23DD"/>
    <w:p w:rsidR="00C57261" w:rsidRDefault="00857254">
      <w:r>
        <w:t xml:space="preserve">Dear </w:t>
      </w:r>
      <w:r w:rsidR="00FE06CC" w:rsidRPr="00FE06CC">
        <w:rPr>
          <w:highlight w:val="yellow"/>
        </w:rPr>
        <w:t xml:space="preserve">[INSERT </w:t>
      </w:r>
      <w:r w:rsidR="002F669D" w:rsidRPr="002F669D">
        <w:rPr>
          <w:highlight w:val="yellow"/>
        </w:rPr>
        <w:t>NAME]</w:t>
      </w:r>
    </w:p>
    <w:p w:rsidR="00857254" w:rsidRDefault="00857254"/>
    <w:p w:rsidR="002C7CE5" w:rsidRDefault="002C7CE5" w:rsidP="002C7CE5">
      <w:pPr>
        <w:pStyle w:val="Default"/>
      </w:pPr>
      <w:bookmarkStart w:id="0" w:name="_GoBack"/>
      <w:bookmarkEnd w:id="0"/>
    </w:p>
    <w:p w:rsidR="00A51A56" w:rsidRDefault="002C7CE5" w:rsidP="002C7CE5">
      <w:pPr>
        <w:pStyle w:val="Default"/>
        <w:rPr>
          <w:b/>
        </w:rPr>
      </w:pPr>
      <w:r>
        <w:t xml:space="preserve"> </w:t>
      </w:r>
      <w:r w:rsidR="00A51A56">
        <w:rPr>
          <w:b/>
        </w:rPr>
        <w:t>Change to methylphenidate brand</w:t>
      </w:r>
    </w:p>
    <w:p w:rsidR="00A51A56" w:rsidRDefault="00A51A56" w:rsidP="002C7CE5">
      <w:pPr>
        <w:pStyle w:val="Default"/>
        <w:rPr>
          <w:b/>
        </w:rPr>
      </w:pPr>
    </w:p>
    <w:p w:rsidR="00A51A56" w:rsidRPr="00D645D1" w:rsidRDefault="00A51A56" w:rsidP="00D645D1">
      <w:pPr>
        <w:pStyle w:val="Default"/>
        <w:spacing w:line="276" w:lineRule="auto"/>
      </w:pPr>
      <w:r w:rsidRPr="00D645D1">
        <w:t xml:space="preserve">Prescribers at Surrey and Borders Partnership NHS Trust (SABP) are now recommending switching patients prescribed </w:t>
      </w:r>
      <w:proofErr w:type="spellStart"/>
      <w:r w:rsidRPr="00D645D1">
        <w:t>Concerta</w:t>
      </w:r>
      <w:proofErr w:type="spellEnd"/>
      <w:r w:rsidRPr="00D645D1">
        <w:t xml:space="preserve"> XL® (18mg, 27mg, 36mg and 54mg) to the branded generic Delmosart XL® at the same strength and dose, prescribed by brand name.</w:t>
      </w:r>
    </w:p>
    <w:p w:rsidR="00A51A56" w:rsidRPr="00D645D1" w:rsidRDefault="00A51A56" w:rsidP="00D645D1">
      <w:pPr>
        <w:pStyle w:val="Default"/>
        <w:spacing w:line="276" w:lineRule="auto"/>
      </w:pPr>
    </w:p>
    <w:p w:rsidR="002C7CE5" w:rsidRPr="00D645D1" w:rsidRDefault="002C7CE5" w:rsidP="00D645D1">
      <w:pPr>
        <w:pStyle w:val="Default"/>
        <w:spacing w:line="276" w:lineRule="auto"/>
      </w:pPr>
      <w:r w:rsidRPr="00D645D1">
        <w:t xml:space="preserve">Delmosart® XL is 1st line choice at </w:t>
      </w:r>
      <w:r w:rsidR="00A51A56" w:rsidRPr="00D645D1">
        <w:t>SABP for a methylphenidate product providing a duration of action of 12 hours, with a peak at 1-2 hours, followed by a second peak at 6-8 hours</w:t>
      </w:r>
      <w:r w:rsidRPr="00D645D1">
        <w:t xml:space="preserve">. </w:t>
      </w:r>
      <w:r w:rsidR="00A51A56" w:rsidRPr="00D645D1">
        <w:t xml:space="preserve">  T</w:t>
      </w:r>
      <w:r w:rsidRPr="00D645D1">
        <w:t>his switch can be undertaken in primary care but ideally switches should be undertaken with direct conta</w:t>
      </w:r>
      <w:r w:rsidR="00A51A56" w:rsidRPr="00D645D1">
        <w:t>ct with patients (face to face)</w:t>
      </w:r>
      <w:r w:rsidRPr="00D645D1">
        <w:t xml:space="preserve">. Communications should be done according to individual patient requirements. </w:t>
      </w:r>
    </w:p>
    <w:p w:rsidR="00A51A56" w:rsidRPr="00D645D1" w:rsidRDefault="00A51A56" w:rsidP="00D645D1">
      <w:pPr>
        <w:pStyle w:val="Default"/>
        <w:spacing w:line="276" w:lineRule="auto"/>
      </w:pPr>
    </w:p>
    <w:p w:rsidR="002C7CE5" w:rsidRPr="00D645D1" w:rsidRDefault="002C7CE5" w:rsidP="00D645D1">
      <w:pPr>
        <w:pStyle w:val="Default"/>
        <w:spacing w:line="276" w:lineRule="auto"/>
      </w:pPr>
      <w:r w:rsidRPr="00D645D1">
        <w:t xml:space="preserve">If you prescribe for patients under the care of any other providers you may wish to discuss with them before making a switch. </w:t>
      </w:r>
    </w:p>
    <w:p w:rsidR="00A51A56" w:rsidRPr="00D645D1" w:rsidRDefault="00A51A56" w:rsidP="00D645D1">
      <w:pPr>
        <w:pStyle w:val="Default"/>
        <w:spacing w:line="276" w:lineRule="auto"/>
      </w:pPr>
    </w:p>
    <w:p w:rsidR="002C7CE5" w:rsidRPr="00D645D1" w:rsidRDefault="002C7CE5" w:rsidP="00D645D1">
      <w:pPr>
        <w:pStyle w:val="Default"/>
        <w:spacing w:line="276" w:lineRule="auto"/>
      </w:pPr>
      <w:r w:rsidRPr="00D645D1">
        <w:t xml:space="preserve">New patients – Where methylphenidate modified release 18mg, 27mg, 36mg or 54mg is indicated </w:t>
      </w:r>
      <w:r w:rsidR="00A51A56" w:rsidRPr="00D645D1">
        <w:t>SABP prescribers</w:t>
      </w:r>
      <w:r w:rsidRPr="00D645D1">
        <w:t xml:space="preserve"> will start patients on the preferred brand Delmosart® XL. </w:t>
      </w:r>
    </w:p>
    <w:p w:rsidR="002C7CE5" w:rsidRPr="00D645D1" w:rsidRDefault="002C7CE5" w:rsidP="00D645D1">
      <w:pPr>
        <w:pStyle w:val="Default"/>
        <w:spacing w:line="276" w:lineRule="auto"/>
      </w:pPr>
      <w:r w:rsidRPr="00D645D1">
        <w:t>Guidance from NHS Specialist Pharmacy Service advises that modified release methylphenidate formulations should be prescribed by brand</w:t>
      </w:r>
      <w:proofErr w:type="gramStart"/>
      <w:r w:rsidRPr="00D645D1">
        <w:t>.[</w:t>
      </w:r>
      <w:proofErr w:type="gramEnd"/>
      <w:r w:rsidRPr="00D645D1">
        <w:t xml:space="preserve">1] </w:t>
      </w:r>
    </w:p>
    <w:p w:rsidR="002C7CE5" w:rsidRPr="00D645D1" w:rsidRDefault="002C7CE5" w:rsidP="00D645D1">
      <w:pPr>
        <w:pStyle w:val="Default"/>
        <w:spacing w:line="276" w:lineRule="auto"/>
      </w:pPr>
      <w:r w:rsidRPr="00D645D1">
        <w:t xml:space="preserve">Methylphenidate is a schedule 2 controlled drug and is therefore subject to the regulations for controlled drugs (see BNF for more details). Supplies should be limited to no more than 30 days. </w:t>
      </w:r>
    </w:p>
    <w:p w:rsidR="002C7CE5" w:rsidRPr="00D645D1" w:rsidRDefault="00A51A56" w:rsidP="00D645D1">
      <w:pPr>
        <w:pStyle w:val="Default"/>
        <w:spacing w:line="276" w:lineRule="auto"/>
      </w:pPr>
      <w:r w:rsidRPr="00D645D1">
        <w:tab/>
      </w:r>
    </w:p>
    <w:p w:rsidR="002C7CE5" w:rsidRPr="00D645D1" w:rsidRDefault="002C7CE5" w:rsidP="00D645D1">
      <w:pPr>
        <w:pStyle w:val="Default"/>
        <w:spacing w:line="276" w:lineRule="auto"/>
      </w:pPr>
      <w:r w:rsidRPr="00D645D1">
        <w:rPr>
          <w:b/>
          <w:bCs/>
        </w:rPr>
        <w:t xml:space="preserve">Rationale: </w:t>
      </w:r>
    </w:p>
    <w:p w:rsidR="002C7CE5" w:rsidRPr="00D645D1" w:rsidRDefault="00A51A56" w:rsidP="00D645D1">
      <w:pPr>
        <w:pStyle w:val="Default"/>
        <w:spacing w:after="4" w:line="276" w:lineRule="auto"/>
      </w:pPr>
      <w:proofErr w:type="spellStart"/>
      <w:r w:rsidRPr="00D645D1">
        <w:t>C</w:t>
      </w:r>
      <w:r w:rsidR="002C7CE5" w:rsidRPr="00D645D1">
        <w:t>oncerta</w:t>
      </w:r>
      <w:proofErr w:type="spellEnd"/>
      <w:r w:rsidR="002C7CE5" w:rsidRPr="00D645D1">
        <w:t xml:space="preserve">® XL and </w:t>
      </w:r>
      <w:proofErr w:type="spellStart"/>
      <w:r w:rsidR="002C7CE5" w:rsidRPr="00D645D1">
        <w:t>Delmosart</w:t>
      </w:r>
      <w:proofErr w:type="spellEnd"/>
      <w:r w:rsidR="002C7CE5" w:rsidRPr="00D645D1">
        <w:t xml:space="preserve">® XL are indicated for use as part of a comprehensive treatment programme for ADHD, in children aged 6 years of age and over, when remedial measures alone prove insufficient. </w:t>
      </w:r>
    </w:p>
    <w:p w:rsidR="00A51A56" w:rsidRPr="00D645D1" w:rsidRDefault="002C7CE5" w:rsidP="00D645D1">
      <w:pPr>
        <w:pStyle w:val="Default"/>
        <w:spacing w:after="4" w:line="276" w:lineRule="auto"/>
      </w:pPr>
      <w:r w:rsidRPr="00D645D1">
        <w:lastRenderedPageBreak/>
        <w:t xml:space="preserve">Delmosart® XL has UK marketing authorisation </w:t>
      </w:r>
      <w:r w:rsidR="00A51A56" w:rsidRPr="00D645D1">
        <w:t>and</w:t>
      </w:r>
      <w:r w:rsidRPr="00D645D1">
        <w:t xml:space="preserve"> has been shown to be clinically bioequivalent to </w:t>
      </w:r>
      <w:proofErr w:type="spellStart"/>
      <w:r w:rsidRPr="00D645D1">
        <w:t>Concert</w:t>
      </w:r>
      <w:r w:rsidR="00D645D1">
        <w:t>a</w:t>
      </w:r>
      <w:proofErr w:type="spellEnd"/>
      <w:r w:rsidRPr="00D645D1">
        <w:t xml:space="preserve">® </w:t>
      </w:r>
      <w:r w:rsidR="00A51A56" w:rsidRPr="00D645D1">
        <w:t xml:space="preserve">XL. </w:t>
      </w:r>
    </w:p>
    <w:p w:rsidR="002C7CE5" w:rsidRPr="00D645D1" w:rsidRDefault="002C7CE5" w:rsidP="00D645D1">
      <w:pPr>
        <w:pStyle w:val="Default"/>
        <w:spacing w:after="4" w:line="276" w:lineRule="auto"/>
      </w:pPr>
      <w:r w:rsidRPr="00D645D1">
        <w:t xml:space="preserve">Delmosart® XL is lower cost to prescribe than generic modified release methylphenidate (18mg, 27mg, 36mg and 54mg) and </w:t>
      </w:r>
      <w:proofErr w:type="spellStart"/>
      <w:r w:rsidRPr="00D645D1">
        <w:t>Concerta</w:t>
      </w:r>
      <w:proofErr w:type="spellEnd"/>
      <w:r w:rsidRPr="00D645D1">
        <w:t xml:space="preserve">® XL. At the time of writing - approximately 50% lower in price than </w:t>
      </w:r>
      <w:proofErr w:type="spellStart"/>
      <w:r w:rsidRPr="00D645D1">
        <w:t>Concerta</w:t>
      </w:r>
      <w:proofErr w:type="spellEnd"/>
      <w:r w:rsidRPr="00D645D1">
        <w:t xml:space="preserve">® XL. </w:t>
      </w:r>
    </w:p>
    <w:p w:rsidR="002C7CE5" w:rsidRPr="00D645D1" w:rsidRDefault="002C7CE5" w:rsidP="00D645D1">
      <w:pPr>
        <w:pStyle w:val="Default"/>
        <w:spacing w:line="276" w:lineRule="auto"/>
      </w:pPr>
      <w:r w:rsidRPr="00D645D1">
        <w:t xml:space="preserve"> </w:t>
      </w:r>
    </w:p>
    <w:p w:rsidR="002C7CE5" w:rsidRDefault="00D645D1" w:rsidP="00D645D1">
      <w:pPr>
        <w:pStyle w:val="Default"/>
        <w:spacing w:line="276" w:lineRule="auto"/>
        <w:rPr>
          <w:b/>
        </w:rPr>
      </w:pPr>
      <w:r>
        <w:rPr>
          <w:b/>
        </w:rPr>
        <w:t>Further information</w:t>
      </w:r>
    </w:p>
    <w:p w:rsidR="00D645D1" w:rsidRDefault="00D645D1" w:rsidP="00D645D1">
      <w:pPr>
        <w:pStyle w:val="Default"/>
        <w:spacing w:line="276" w:lineRule="auto"/>
      </w:pPr>
      <w:r>
        <w:t xml:space="preserve">Prescribing information is available via </w:t>
      </w:r>
      <w:hyperlink r:id="rId9" w:history="1">
        <w:r w:rsidRPr="00631438">
          <w:rPr>
            <w:rStyle w:val="Hyperlink"/>
          </w:rPr>
          <w:t>www.medicines.org.uk</w:t>
        </w:r>
      </w:hyperlink>
    </w:p>
    <w:p w:rsidR="00D645D1" w:rsidRDefault="00D645D1" w:rsidP="00D645D1">
      <w:pPr>
        <w:pStyle w:val="Default"/>
        <w:spacing w:line="276" w:lineRule="auto"/>
      </w:pPr>
      <w:r>
        <w:t xml:space="preserve">Information for people taking methylphenidate and their family/carer is available via </w:t>
      </w:r>
      <w:hyperlink r:id="rId10" w:history="1">
        <w:r w:rsidRPr="00631438">
          <w:rPr>
            <w:rStyle w:val="Hyperlink"/>
          </w:rPr>
          <w:t>www.medicinesforchildren.org.uk</w:t>
        </w:r>
      </w:hyperlink>
      <w:r>
        <w:t xml:space="preserve"> or via </w:t>
      </w:r>
      <w:hyperlink r:id="rId11" w:history="1">
        <w:r w:rsidRPr="00631438">
          <w:rPr>
            <w:rStyle w:val="Hyperlink"/>
          </w:rPr>
          <w:t>www.choiceandmedication.org/sabp</w:t>
        </w:r>
      </w:hyperlink>
      <w:r>
        <w:t>.</w:t>
      </w:r>
    </w:p>
    <w:p w:rsidR="00D645D1" w:rsidRDefault="00D645D1" w:rsidP="00D645D1">
      <w:pPr>
        <w:pStyle w:val="Default"/>
        <w:spacing w:line="276" w:lineRule="auto"/>
      </w:pPr>
    </w:p>
    <w:p w:rsidR="00D645D1" w:rsidRDefault="00D645D1" w:rsidP="00D645D1">
      <w:pPr>
        <w:pStyle w:val="Default"/>
        <w:spacing w:line="276" w:lineRule="auto"/>
      </w:pPr>
      <w:r>
        <w:t>The tablets are all 12mm long and just under 7mm wide.</w:t>
      </w:r>
    </w:p>
    <w:p w:rsidR="00D645D1" w:rsidRPr="00D645D1" w:rsidRDefault="00D645D1" w:rsidP="00D645D1">
      <w:pPr>
        <w:pStyle w:val="Default"/>
        <w:spacing w:line="276" w:lineRule="auto"/>
      </w:pPr>
    </w:p>
    <w:p w:rsidR="002C7CE5" w:rsidRPr="00D645D1" w:rsidRDefault="002C7CE5" w:rsidP="00D645D1">
      <w:pPr>
        <w:pStyle w:val="Default"/>
        <w:spacing w:line="276" w:lineRule="auto"/>
      </w:pPr>
      <w:r w:rsidRPr="00D645D1">
        <w:rPr>
          <w:b/>
          <w:bCs/>
        </w:rPr>
        <w:t xml:space="preserve">NB: This guidance does not apply to other strengths of modified release methylphenidate (including </w:t>
      </w:r>
      <w:proofErr w:type="spellStart"/>
      <w:r w:rsidRPr="00D645D1">
        <w:rPr>
          <w:b/>
          <w:bCs/>
        </w:rPr>
        <w:t>Equasym</w:t>
      </w:r>
      <w:proofErr w:type="spellEnd"/>
      <w:r w:rsidRPr="00D645D1">
        <w:rPr>
          <w:b/>
          <w:bCs/>
        </w:rPr>
        <w:t xml:space="preserve"> XL® and </w:t>
      </w:r>
      <w:proofErr w:type="spellStart"/>
      <w:r w:rsidRPr="00D645D1">
        <w:rPr>
          <w:b/>
          <w:bCs/>
        </w:rPr>
        <w:t>Medikinet</w:t>
      </w:r>
      <w:proofErr w:type="spellEnd"/>
      <w:r w:rsidRPr="00D645D1">
        <w:rPr>
          <w:b/>
          <w:bCs/>
        </w:rPr>
        <w:t xml:space="preserve"> XL® brands). </w:t>
      </w:r>
    </w:p>
    <w:p w:rsidR="00A51A56" w:rsidRPr="00D645D1" w:rsidRDefault="00A51A56" w:rsidP="00D645D1">
      <w:pPr>
        <w:pStyle w:val="Default"/>
        <w:spacing w:line="276" w:lineRule="auto"/>
      </w:pPr>
    </w:p>
    <w:p w:rsidR="00A51A56" w:rsidRDefault="00A51A56" w:rsidP="00A51A56">
      <w:pPr>
        <w:spacing w:line="276" w:lineRule="auto"/>
        <w:jc w:val="both"/>
      </w:pPr>
      <w:r>
        <w:t>Yours sincerely</w:t>
      </w:r>
    </w:p>
    <w:p w:rsidR="00A51A56" w:rsidRDefault="00A51A56" w:rsidP="00A51A56">
      <w:pPr>
        <w:spacing w:line="276" w:lineRule="auto"/>
        <w:jc w:val="both"/>
      </w:pPr>
    </w:p>
    <w:p w:rsidR="00A51A56" w:rsidRDefault="00A51A56" w:rsidP="00A51A56">
      <w:pPr>
        <w:spacing w:line="276" w:lineRule="auto"/>
        <w:jc w:val="both"/>
      </w:pPr>
      <w:r>
        <w:t>Alison Marshall</w:t>
      </w:r>
    </w:p>
    <w:p w:rsidR="00A51A56" w:rsidRDefault="00A51A56" w:rsidP="00A51A56">
      <w:pPr>
        <w:spacing w:line="276" w:lineRule="auto"/>
      </w:pPr>
      <w:r>
        <w:t>Lead Pharmacist – Quality and Governance</w:t>
      </w:r>
    </w:p>
    <w:p w:rsidR="00A51A56" w:rsidRDefault="00A51A56" w:rsidP="00A51A56">
      <w:pPr>
        <w:spacing w:line="276" w:lineRule="auto"/>
      </w:pPr>
      <w:r>
        <w:t>Medicines Safety Officer</w:t>
      </w:r>
    </w:p>
    <w:p w:rsidR="00A51A56" w:rsidRDefault="00A51A56" w:rsidP="002C7CE5">
      <w:pPr>
        <w:pStyle w:val="Default"/>
        <w:rPr>
          <w:sz w:val="16"/>
          <w:szCs w:val="16"/>
        </w:rPr>
      </w:pPr>
    </w:p>
    <w:p w:rsidR="00A51A56" w:rsidRDefault="00A51A56" w:rsidP="002C7CE5">
      <w:pPr>
        <w:pStyle w:val="Default"/>
        <w:rPr>
          <w:sz w:val="16"/>
          <w:szCs w:val="16"/>
        </w:rPr>
      </w:pPr>
    </w:p>
    <w:p w:rsidR="00A51A56" w:rsidRDefault="00A51A56" w:rsidP="00A51A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References: </w:t>
      </w:r>
    </w:p>
    <w:p w:rsidR="00A51A56" w:rsidRDefault="00A51A56" w:rsidP="002C7CE5">
      <w:pPr>
        <w:pStyle w:val="Default"/>
        <w:rPr>
          <w:sz w:val="16"/>
          <w:szCs w:val="16"/>
        </w:rPr>
      </w:pPr>
    </w:p>
    <w:p w:rsidR="00A51A56" w:rsidRDefault="00A51A56" w:rsidP="002C7CE5">
      <w:pPr>
        <w:pStyle w:val="Default"/>
        <w:rPr>
          <w:sz w:val="16"/>
          <w:szCs w:val="16"/>
        </w:rPr>
      </w:pPr>
    </w:p>
    <w:p w:rsidR="002C7CE5" w:rsidRPr="00D645D1" w:rsidRDefault="002C7CE5" w:rsidP="002C7CE5">
      <w:pPr>
        <w:pStyle w:val="Default"/>
        <w:rPr>
          <w:sz w:val="20"/>
          <w:szCs w:val="20"/>
        </w:rPr>
      </w:pPr>
      <w:r w:rsidRPr="00D645D1">
        <w:rPr>
          <w:sz w:val="20"/>
          <w:szCs w:val="20"/>
        </w:rPr>
        <w:t xml:space="preserve">1. NHS Specialist Pharmacy Service – Which medicines should be considered for brand-name prescribing in primary care? </w:t>
      </w:r>
      <w:r w:rsidR="00D645D1">
        <w:rPr>
          <w:sz w:val="20"/>
          <w:szCs w:val="20"/>
        </w:rPr>
        <w:t xml:space="preserve"> </w:t>
      </w:r>
    </w:p>
    <w:p w:rsidR="002C7CE5" w:rsidRPr="00D645D1" w:rsidRDefault="002F669D" w:rsidP="002C7CE5">
      <w:pPr>
        <w:pStyle w:val="Default"/>
        <w:rPr>
          <w:sz w:val="18"/>
          <w:szCs w:val="20"/>
        </w:rPr>
      </w:pPr>
      <w:hyperlink r:id="rId12" w:history="1">
        <w:r w:rsidR="00D645D1" w:rsidRPr="00631438">
          <w:rPr>
            <w:rStyle w:val="Hyperlink"/>
            <w:sz w:val="18"/>
            <w:szCs w:val="20"/>
          </w:rPr>
          <w:t>https://www.sps.nhs.uk/wp-content/uploads/2017/12/UKMi_QA_Brand-name_prescribing_Update_Nov2017.pdf</w:t>
        </w:r>
      </w:hyperlink>
      <w:r w:rsidR="00D645D1">
        <w:rPr>
          <w:sz w:val="18"/>
          <w:szCs w:val="20"/>
        </w:rPr>
        <w:t xml:space="preserve"> </w:t>
      </w:r>
    </w:p>
    <w:p w:rsidR="00A51A56" w:rsidRPr="00D645D1" w:rsidRDefault="00A51A56" w:rsidP="002C7CE5">
      <w:pPr>
        <w:pStyle w:val="Default"/>
        <w:rPr>
          <w:sz w:val="20"/>
          <w:szCs w:val="20"/>
        </w:rPr>
      </w:pPr>
    </w:p>
    <w:p w:rsidR="002C7CE5" w:rsidRPr="00D645D1" w:rsidRDefault="002C7CE5" w:rsidP="002C7CE5">
      <w:pPr>
        <w:pStyle w:val="Default"/>
        <w:rPr>
          <w:sz w:val="20"/>
          <w:szCs w:val="20"/>
        </w:rPr>
      </w:pPr>
      <w:r w:rsidRPr="00D645D1">
        <w:rPr>
          <w:sz w:val="20"/>
          <w:szCs w:val="20"/>
        </w:rPr>
        <w:t xml:space="preserve">2. NHS Specialist Pharmacy Service – Extended release methylphenidate – A review of the pharmacokinetic profiles of the available preparations </w:t>
      </w:r>
    </w:p>
    <w:p w:rsidR="00953324" w:rsidRPr="00D645D1" w:rsidRDefault="002F669D" w:rsidP="002C7CE5">
      <w:pPr>
        <w:spacing w:line="276" w:lineRule="auto"/>
        <w:jc w:val="both"/>
        <w:rPr>
          <w:sz w:val="18"/>
          <w:szCs w:val="20"/>
        </w:rPr>
      </w:pPr>
      <w:hyperlink r:id="rId13" w:history="1">
        <w:r w:rsidR="00A51A56" w:rsidRPr="00D645D1">
          <w:rPr>
            <w:rStyle w:val="Hyperlink"/>
            <w:sz w:val="18"/>
            <w:szCs w:val="20"/>
          </w:rPr>
          <w:t>https://www.sps.nhs.uk/wp-content/uploads/2018/04/Methylphenidate-March-2018-revised.pdf</w:t>
        </w:r>
      </w:hyperlink>
    </w:p>
    <w:p w:rsidR="00A51A56" w:rsidRDefault="00A51A56">
      <w:pPr>
        <w:spacing w:line="276" w:lineRule="auto"/>
      </w:pPr>
    </w:p>
    <w:sectPr w:rsidR="00A51A56" w:rsidSect="00C5345F">
      <w:headerReference w:type="first" r:id="rId14"/>
      <w:footerReference w:type="first" r:id="rId15"/>
      <w:pgSz w:w="11900" w:h="16840"/>
      <w:pgMar w:top="1247" w:right="624" w:bottom="1440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C1" w:rsidRDefault="006B4BC1" w:rsidP="008B56CF">
      <w:r>
        <w:separator/>
      </w:r>
    </w:p>
  </w:endnote>
  <w:endnote w:type="continuationSeparator" w:id="0">
    <w:p w:rsidR="006B4BC1" w:rsidRDefault="006B4BC1" w:rsidP="008B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D2" w:rsidRDefault="00AC35D2" w:rsidP="00382617">
    <w:pPr>
      <w:pStyle w:val="Footer"/>
      <w:ind w:left="-851"/>
    </w:pPr>
    <w:r>
      <w:rPr>
        <w:noProof/>
        <w:lang w:eastAsia="en-GB"/>
      </w:rPr>
      <w:drawing>
        <wp:inline distT="0" distB="0" distL="0" distR="0" wp14:anchorId="0D11A4E4" wp14:editId="694AADD4">
          <wp:extent cx="4031742" cy="644652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dress12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742" cy="64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C1" w:rsidRDefault="006B4BC1" w:rsidP="008B56CF">
      <w:r>
        <w:separator/>
      </w:r>
    </w:p>
  </w:footnote>
  <w:footnote w:type="continuationSeparator" w:id="0">
    <w:p w:rsidR="006B4BC1" w:rsidRDefault="006B4BC1" w:rsidP="008B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54" w:rsidRDefault="00FE06CC" w:rsidP="00FE06CC">
    <w:pPr>
      <w:pStyle w:val="Header"/>
      <w:tabs>
        <w:tab w:val="clear" w:pos="4513"/>
        <w:tab w:val="clear" w:pos="9026"/>
        <w:tab w:val="left" w:pos="334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2034794</wp:posOffset>
              </wp:positionH>
              <wp:positionV relativeFrom="paragraph">
                <wp:posOffset>42291</wp:posOffset>
              </wp:positionV>
              <wp:extent cx="2376932" cy="850392"/>
              <wp:effectExtent l="0" t="0" r="23495" b="2603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932" cy="8503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6CC" w:rsidRPr="00044F6D" w:rsidRDefault="00FE06CC" w:rsidP="00FE06CC"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FF0000"/>
                            </w:rPr>
                            <w:t>INSERT ACUTE PROVIDER OR COMMISSIONER</w:t>
                          </w:r>
                          <w:r w:rsidRPr="00044F6D">
                            <w:rPr>
                              <w:rFonts w:ascii="Arial" w:eastAsia="Times New Roman" w:hAnsi="Arial" w:cs="Arial"/>
                              <w:b/>
                              <w:color w:val="FF0000"/>
                            </w:rPr>
                            <w:t xml:space="preserve"> LOGO</w:t>
                          </w:r>
                        </w:p>
                        <w:p w:rsidR="00FE06CC" w:rsidRPr="00044F6D" w:rsidRDefault="00FE06CC" w:rsidP="00FE06CC"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FF0000"/>
                            </w:rPr>
                          </w:pPr>
                          <w:r w:rsidRPr="00044F6D">
                            <w:rPr>
                              <w:rFonts w:ascii="Arial" w:eastAsia="Times New Roman" w:hAnsi="Arial" w:cs="Arial"/>
                              <w:b/>
                              <w:lang w:val="en-AU"/>
                            </w:rPr>
                            <w:t>WORKING IN PARTNERSHIP WITH</w:t>
                          </w:r>
                        </w:p>
                        <w:p w:rsidR="00FE06CC" w:rsidRDefault="00FE06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60.2pt;margin-top:3.35pt;width:187.15pt;height: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" fillcolor="white [3201]" strokeweight=".5pt">
              <v:textbox>
                <w:txbxContent>
                  <w:p w:rsidR="00FE06CC" w:rsidRPr="00044F6D" w:rsidRDefault="00FE06CC" w:rsidP="00FE06CC">
                    <w:pPr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ascii="Arial" w:eastAsia="Times New Roman" w:hAnsi="Arial" w:cs="Arial"/>
                        <w:b/>
                        <w:color w:val="FF0000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FF0000"/>
                      </w:rPr>
                      <w:t>INSERT ACUTE PROVIDER OR COMMISSIONER</w:t>
                    </w:r>
                    <w:r w:rsidRPr="00044F6D">
                      <w:rPr>
                        <w:rFonts w:ascii="Arial" w:eastAsia="Times New Roman" w:hAnsi="Arial" w:cs="Arial"/>
                        <w:b/>
                        <w:color w:val="FF0000"/>
                      </w:rPr>
                      <w:t xml:space="preserve"> LOGO</w:t>
                    </w:r>
                  </w:p>
                  <w:p w:rsidR="00FE06CC" w:rsidRPr="00044F6D" w:rsidRDefault="00FE06CC" w:rsidP="00FE06CC">
                    <w:pPr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ascii="Arial" w:eastAsia="Times New Roman" w:hAnsi="Arial" w:cs="Arial"/>
                        <w:b/>
                        <w:color w:val="FF0000"/>
                      </w:rPr>
                    </w:pPr>
                    <w:r w:rsidRPr="00044F6D">
                      <w:rPr>
                        <w:rFonts w:ascii="Arial" w:eastAsia="Times New Roman" w:hAnsi="Arial" w:cs="Arial"/>
                        <w:b/>
                        <w:lang w:val="en-AU"/>
                      </w:rPr>
                      <w:t>WORKING IN PARTNERSHIP WITH</w:t>
                    </w:r>
                  </w:p>
                  <w:p w:rsidR="00FE06CC" w:rsidRDefault="00FE06CC"/>
                </w:txbxContent>
              </v:textbox>
            </v:shape>
          </w:pict>
        </mc:Fallback>
      </mc:AlternateContent>
    </w:r>
    <w:r w:rsidR="004C201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C845E8" wp14:editId="7B2E8D79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97640" cy="0"/>
              <wp:effectExtent l="0" t="0" r="3111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7640" cy="0"/>
                      </a:xfrm>
                      <a:prstGeom prst="line">
                        <a:avLst/>
                      </a:prstGeom>
                      <a:ln>
                        <a:solidFill>
                          <a:srgbClr val="00B3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" strokecolor="#00b3dc" strokeweight=".5pt">
              <v:stroke joinstyle="miter"/>
              <w10:wrap anchorx="page" anchory="page"/>
            </v:line>
          </w:pict>
        </mc:Fallback>
      </mc:AlternateContent>
    </w:r>
    <w:r w:rsidR="00B54E2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F66401" wp14:editId="5E674D4F">
          <wp:simplePos x="0" y="0"/>
          <wp:positionH relativeFrom="page">
            <wp:posOffset>5600700</wp:posOffset>
          </wp:positionH>
          <wp:positionV relativeFrom="page">
            <wp:posOffset>400050</wp:posOffset>
          </wp:positionV>
          <wp:extent cx="1571625" cy="778510"/>
          <wp:effectExtent l="0" t="0" r="317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57254" w:rsidRDefault="00857254" w:rsidP="00FE06CC">
    <w:pPr>
      <w:pStyle w:val="Header"/>
      <w:jc w:val="center"/>
    </w:pPr>
  </w:p>
  <w:p w:rsidR="00857254" w:rsidRDefault="00857254">
    <w:pPr>
      <w:pStyle w:val="Header"/>
    </w:pPr>
  </w:p>
  <w:p w:rsidR="00857254" w:rsidRDefault="00857254">
    <w:pPr>
      <w:pStyle w:val="Header"/>
    </w:pPr>
  </w:p>
  <w:p w:rsidR="00857254" w:rsidRDefault="00857254">
    <w:pPr>
      <w:pStyle w:val="Header"/>
    </w:pPr>
  </w:p>
  <w:p w:rsidR="00382617" w:rsidRDefault="00382617">
    <w:pPr>
      <w:pStyle w:val="Header"/>
    </w:pPr>
  </w:p>
  <w:p w:rsidR="00382617" w:rsidRDefault="00382617">
    <w:pPr>
      <w:pStyle w:val="Header"/>
    </w:pPr>
  </w:p>
  <w:p w:rsidR="00382617" w:rsidRDefault="00382617">
    <w:pPr>
      <w:pStyle w:val="Header"/>
    </w:pPr>
  </w:p>
  <w:p w:rsidR="00C5345F" w:rsidRDefault="00C5345F">
    <w:pPr>
      <w:pStyle w:val="Header"/>
    </w:pPr>
  </w:p>
  <w:p w:rsidR="008B56CF" w:rsidRDefault="008B56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69526FE" wp14:editId="3CE702D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66120" cy="20156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DS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20" cy="201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C1"/>
    <w:rsid w:val="000D281A"/>
    <w:rsid w:val="002103D8"/>
    <w:rsid w:val="00261038"/>
    <w:rsid w:val="002B23DD"/>
    <w:rsid w:val="002C7CE5"/>
    <w:rsid w:val="002E31F4"/>
    <w:rsid w:val="002F669D"/>
    <w:rsid w:val="00382617"/>
    <w:rsid w:val="00396CBA"/>
    <w:rsid w:val="003E6EF3"/>
    <w:rsid w:val="004C2019"/>
    <w:rsid w:val="005800F3"/>
    <w:rsid w:val="005E37AC"/>
    <w:rsid w:val="006B4BC1"/>
    <w:rsid w:val="006B6D53"/>
    <w:rsid w:val="00744ADE"/>
    <w:rsid w:val="00800FF4"/>
    <w:rsid w:val="00857254"/>
    <w:rsid w:val="008B56CF"/>
    <w:rsid w:val="00953324"/>
    <w:rsid w:val="00A336F6"/>
    <w:rsid w:val="00A51A56"/>
    <w:rsid w:val="00AB1169"/>
    <w:rsid w:val="00AC35D2"/>
    <w:rsid w:val="00AE2414"/>
    <w:rsid w:val="00B54E2F"/>
    <w:rsid w:val="00C5345F"/>
    <w:rsid w:val="00D645D1"/>
    <w:rsid w:val="00DB153B"/>
    <w:rsid w:val="00E1520D"/>
    <w:rsid w:val="00E24EC2"/>
    <w:rsid w:val="00EA7899"/>
    <w:rsid w:val="00F25EFE"/>
    <w:rsid w:val="00FB6DA7"/>
    <w:rsid w:val="00FE06CC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6CF"/>
  </w:style>
  <w:style w:type="paragraph" w:styleId="Footer">
    <w:name w:val="footer"/>
    <w:basedOn w:val="Normal"/>
    <w:link w:val="FooterChar"/>
    <w:uiPriority w:val="99"/>
    <w:unhideWhenUsed/>
    <w:rsid w:val="008B5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6CF"/>
  </w:style>
  <w:style w:type="table" w:styleId="TableGrid">
    <w:name w:val="Table Grid"/>
    <w:basedOn w:val="TableNormal"/>
    <w:uiPriority w:val="39"/>
    <w:rsid w:val="00C5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899"/>
    <w:rPr>
      <w:color w:val="0563C1" w:themeColor="hyperlink"/>
      <w:u w:val="single"/>
    </w:rPr>
  </w:style>
  <w:style w:type="paragraph" w:customStyle="1" w:styleId="Default">
    <w:name w:val="Default"/>
    <w:rsid w:val="002C7C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51A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6CF"/>
  </w:style>
  <w:style w:type="paragraph" w:styleId="Footer">
    <w:name w:val="footer"/>
    <w:basedOn w:val="Normal"/>
    <w:link w:val="FooterChar"/>
    <w:uiPriority w:val="99"/>
    <w:unhideWhenUsed/>
    <w:rsid w:val="008B5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6CF"/>
  </w:style>
  <w:style w:type="table" w:styleId="TableGrid">
    <w:name w:val="Table Grid"/>
    <w:basedOn w:val="TableNormal"/>
    <w:uiPriority w:val="39"/>
    <w:rsid w:val="00C5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899"/>
    <w:rPr>
      <w:color w:val="0563C1" w:themeColor="hyperlink"/>
      <w:u w:val="single"/>
    </w:rPr>
  </w:style>
  <w:style w:type="paragraph" w:customStyle="1" w:styleId="Default">
    <w:name w:val="Default"/>
    <w:rsid w:val="002C7C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51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marshall@sabp.nhs.uk" TargetMode="External"/><Relationship Id="rId13" Type="http://schemas.openxmlformats.org/officeDocument/2006/relationships/hyperlink" Target="https://www.sps.nhs.uk/wp-content/uploads/2018/04/Methylphenidate-March-2018-revise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ps.nhs.uk/wp-content/uploads/2017/12/UKMi_QA_Brand-name_prescribing_Update_Nov201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iceandmedication.org/sab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dicinesforchildre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ines.org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%20marshall\AppData\Local\Microsoft\Windows\Temporary%20Internet%20Files\Content.IE5\KZ0U2H4F\LH_Corpor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B7F6-65A9-4736-BF19-4B3A614F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LH_Corporate_FINAL.dotx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Marshall</dc:creator>
  <cp:lastModifiedBy>Johns Clare (Surrey Downs CCG)</cp:lastModifiedBy>
  <cp:revision>3</cp:revision>
  <cp:lastPrinted>2019-08-02T08:19:00Z</cp:lastPrinted>
  <dcterms:created xsi:type="dcterms:W3CDTF">2020-01-23T16:03:00Z</dcterms:created>
  <dcterms:modified xsi:type="dcterms:W3CDTF">2020-01-23T16:04:00Z</dcterms:modified>
</cp:coreProperties>
</file>